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B7C9A" w14:textId="05C4BDE4" w:rsidR="000413B3" w:rsidRPr="000A395E" w:rsidRDefault="000A395E">
      <w:pPr>
        <w:rPr>
          <w:b/>
          <w:bCs/>
          <w:sz w:val="28"/>
          <w:szCs w:val="28"/>
          <w:u w:val="single"/>
          <w:lang w:val="en-US"/>
        </w:rPr>
      </w:pPr>
      <w:r w:rsidRPr="000A395E">
        <w:rPr>
          <w:b/>
          <w:bCs/>
          <w:sz w:val="28"/>
          <w:szCs w:val="28"/>
          <w:u w:val="single"/>
          <w:lang w:val="en-US"/>
        </w:rPr>
        <w:t>Payment in advance from COA</w:t>
      </w:r>
    </w:p>
    <w:p w14:paraId="10A616C8" w14:textId="141AD048" w:rsidR="00C21CBB" w:rsidRDefault="00C21CBB">
      <w:pPr>
        <w:rPr>
          <w:lang w:val="en-US"/>
        </w:rPr>
      </w:pPr>
      <w:r w:rsidRPr="00C21CBB">
        <w:rPr>
          <w:lang w:val="en-US"/>
        </w:rPr>
        <w:t>COA is created and registered w</w:t>
      </w:r>
      <w:r>
        <w:rPr>
          <w:lang w:val="en-US"/>
        </w:rPr>
        <w:t>ith PAYTERM=PAYMENT IN ADVANCE</w:t>
      </w:r>
    </w:p>
    <w:p w14:paraId="63B51DBD" w14:textId="474FD258" w:rsidR="00C21CBB" w:rsidRDefault="00C21CBB">
      <w:pPr>
        <w:rPr>
          <w:lang w:val="en-US"/>
        </w:rPr>
      </w:pPr>
      <w:r>
        <w:rPr>
          <w:noProof/>
        </w:rPr>
        <w:drawing>
          <wp:inline distT="0" distB="0" distL="0" distR="0" wp14:anchorId="0C87BCFB" wp14:editId="527E0342">
            <wp:extent cx="5760720" cy="3196590"/>
            <wp:effectExtent l="0" t="0" r="0" b="381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54BDD" w14:textId="646CD694" w:rsidR="00C21CBB" w:rsidRDefault="00C21CBB">
      <w:pPr>
        <w:rPr>
          <w:lang w:val="en-US"/>
        </w:rPr>
      </w:pPr>
    </w:p>
    <w:p w14:paraId="3E70DB8F" w14:textId="136DFEA9" w:rsidR="00C21CBB" w:rsidRDefault="00C21CBB">
      <w:pPr>
        <w:rPr>
          <w:noProof/>
          <w:lang w:val="en-US"/>
        </w:rPr>
      </w:pPr>
      <w:r>
        <w:rPr>
          <w:lang w:val="en-US"/>
        </w:rPr>
        <w:t>On COA item level there is a message that you can’t forward the COA to a Shipping advice before payment is registered.</w:t>
      </w:r>
      <w:r w:rsidRPr="00C21CBB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76C26B32" wp14:editId="5B09A6E6">
            <wp:extent cx="5760720" cy="2978785"/>
            <wp:effectExtent l="0" t="0" r="0" b="0"/>
            <wp:docPr id="2" name="Picture 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F6837" w14:textId="18DE097B" w:rsidR="00DF18DF" w:rsidRDefault="00DF18DF">
      <w:pPr>
        <w:rPr>
          <w:noProof/>
          <w:lang w:val="en-US"/>
        </w:rPr>
      </w:pPr>
    </w:p>
    <w:p w14:paraId="191E8522" w14:textId="368B96D8" w:rsidR="00DF18DF" w:rsidRPr="00DF18DF" w:rsidRDefault="00DF18DF">
      <w:pPr>
        <w:rPr>
          <w:noProof/>
          <w:lang w:val="en-US"/>
        </w:rPr>
      </w:pPr>
      <w:r>
        <w:rPr>
          <w:noProof/>
          <w:lang w:val="en-US"/>
        </w:rPr>
        <w:t>From the COA is ST=8, it could be triggered a Proforma Invoice that you can send to the customer. Please make sure the invoice is triggered from the COA.</w:t>
      </w:r>
    </w:p>
    <w:p w14:paraId="785F15BC" w14:textId="2E8CEF05" w:rsidR="00C21CBB" w:rsidRPr="00DF18DF" w:rsidRDefault="00C21CBB">
      <w:pPr>
        <w:rPr>
          <w:noProof/>
          <w:lang w:val="en-US"/>
        </w:rPr>
      </w:pPr>
    </w:p>
    <w:p w14:paraId="6FBA6B3B" w14:textId="61E40379" w:rsidR="00C21CBB" w:rsidRDefault="00C21CBB">
      <w:pPr>
        <w:rPr>
          <w:lang w:val="en-US"/>
        </w:rPr>
      </w:pPr>
      <w:r w:rsidRPr="00C21CBB">
        <w:rPr>
          <w:noProof/>
          <w:lang w:val="en-US"/>
        </w:rPr>
        <w:lastRenderedPageBreak/>
        <w:t>When you receive payment, use t</w:t>
      </w:r>
      <w:r>
        <w:rPr>
          <w:noProof/>
          <w:lang w:val="en-US"/>
        </w:rPr>
        <w:t>he option Create payment from the COA.</w:t>
      </w:r>
      <w:r w:rsidRPr="00C21CBB">
        <w:rPr>
          <w:lang w:val="en-US"/>
        </w:rPr>
        <w:t xml:space="preserve"> </w:t>
      </w:r>
      <w:r w:rsidR="00B92F1F">
        <w:rPr>
          <w:lang w:val="en-US"/>
        </w:rPr>
        <w:t>This is to bind the COA and the payment together.</w:t>
      </w:r>
      <w:r>
        <w:rPr>
          <w:noProof/>
        </w:rPr>
        <w:drawing>
          <wp:inline distT="0" distB="0" distL="0" distR="0" wp14:anchorId="5D2AA877" wp14:editId="339B5014">
            <wp:extent cx="5760720" cy="3119120"/>
            <wp:effectExtent l="0" t="0" r="0" b="508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62CCD" w14:textId="5A2D4DE0" w:rsidR="00933C44" w:rsidRPr="00B92F1F" w:rsidRDefault="00933C44">
      <w:pPr>
        <w:rPr>
          <w:lang w:val="en-US"/>
        </w:rPr>
      </w:pPr>
      <w:r>
        <w:rPr>
          <w:lang w:val="en-US"/>
        </w:rPr>
        <w:t xml:space="preserve">Or create a PAY </w:t>
      </w:r>
      <w:r w:rsidR="00484870">
        <w:rPr>
          <w:lang w:val="en-US"/>
        </w:rPr>
        <w:t xml:space="preserve">and look for the COA in the field </w:t>
      </w:r>
      <w:proofErr w:type="spellStart"/>
      <w:r w:rsidR="00484870">
        <w:rPr>
          <w:lang w:val="en-US"/>
        </w:rPr>
        <w:t>OrderRef</w:t>
      </w:r>
      <w:proofErr w:type="spellEnd"/>
      <w:r w:rsidR="00484870">
        <w:rPr>
          <w:lang w:val="en-US"/>
        </w:rPr>
        <w:t xml:space="preserve"> on </w:t>
      </w:r>
      <w:proofErr w:type="spellStart"/>
      <w:r w:rsidR="00484870">
        <w:rPr>
          <w:lang w:val="en-US"/>
        </w:rPr>
        <w:t>PAYitem</w:t>
      </w:r>
      <w:proofErr w:type="spellEnd"/>
      <w:r w:rsidR="00982055">
        <w:rPr>
          <w:lang w:val="en-US"/>
        </w:rPr>
        <w:t>.</w:t>
      </w:r>
      <w:r w:rsidR="00982055" w:rsidRPr="00982055">
        <w:rPr>
          <w:noProof/>
          <w:lang w:val="en-US"/>
        </w:rPr>
        <w:t xml:space="preserve"> </w:t>
      </w:r>
      <w:r w:rsidR="00982055">
        <w:rPr>
          <w:noProof/>
        </w:rPr>
        <w:drawing>
          <wp:inline distT="0" distB="0" distL="0" distR="0" wp14:anchorId="4CC16974" wp14:editId="24D9D825">
            <wp:extent cx="5760720" cy="2237740"/>
            <wp:effectExtent l="0" t="0" r="0" b="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35E28" w14:textId="3F80A906" w:rsidR="00C21CBB" w:rsidRPr="00B92F1F" w:rsidRDefault="00C21CBB">
      <w:pPr>
        <w:rPr>
          <w:lang w:val="en-US"/>
        </w:rPr>
      </w:pPr>
    </w:p>
    <w:p w14:paraId="45E11AD4" w14:textId="0E9B6252" w:rsidR="00C21CBB" w:rsidRDefault="00C21CBB">
      <w:pPr>
        <w:rPr>
          <w:lang w:val="en-US"/>
        </w:rPr>
      </w:pPr>
      <w:r w:rsidRPr="00C21CBB">
        <w:rPr>
          <w:lang w:val="en-US"/>
        </w:rPr>
        <w:t>Reference to the payment is s</w:t>
      </w:r>
      <w:r>
        <w:rPr>
          <w:lang w:val="en-US"/>
        </w:rPr>
        <w:t>hown</w:t>
      </w:r>
      <w:r w:rsidR="00A756E9">
        <w:rPr>
          <w:lang w:val="en-US"/>
        </w:rPr>
        <w:t xml:space="preserve"> on COA</w:t>
      </w:r>
      <w:r>
        <w:rPr>
          <w:lang w:val="en-US"/>
        </w:rPr>
        <w:t>:</w:t>
      </w:r>
      <w:r>
        <w:rPr>
          <w:noProof/>
        </w:rPr>
        <w:drawing>
          <wp:inline distT="0" distB="0" distL="0" distR="0" wp14:anchorId="51BDE908" wp14:editId="55CE78EA">
            <wp:extent cx="5760720" cy="3171825"/>
            <wp:effectExtent l="0" t="0" r="0" b="9525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5F7E4" w14:textId="33407E7A" w:rsidR="00C21CBB" w:rsidRDefault="00C21CBB">
      <w:pPr>
        <w:rPr>
          <w:lang w:val="en-US"/>
        </w:rPr>
      </w:pPr>
    </w:p>
    <w:p w14:paraId="4C40D2E1" w14:textId="3D4ED573" w:rsidR="00C21CBB" w:rsidRDefault="00C21CBB">
      <w:pPr>
        <w:rPr>
          <w:lang w:val="en-US"/>
        </w:rPr>
      </w:pPr>
      <w:r>
        <w:rPr>
          <w:lang w:val="en-US"/>
        </w:rPr>
        <w:t>On the PAY item, you see the link to the COA and that it is a payment in advance.</w:t>
      </w:r>
    </w:p>
    <w:p w14:paraId="145F7892" w14:textId="2B16BF3E" w:rsidR="00C21CBB" w:rsidRDefault="00C21CBB">
      <w:pPr>
        <w:rPr>
          <w:lang w:val="en-US"/>
        </w:rPr>
      </w:pPr>
      <w:r>
        <w:rPr>
          <w:noProof/>
        </w:rPr>
        <w:drawing>
          <wp:inline distT="0" distB="0" distL="0" distR="0" wp14:anchorId="682D681E" wp14:editId="215A951A">
            <wp:extent cx="5760720" cy="1989455"/>
            <wp:effectExtent l="0" t="0" r="0" b="0"/>
            <wp:docPr id="5" name="Picture 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7B3A" w14:textId="50B3F2D8" w:rsidR="00C21CBB" w:rsidRDefault="00C21CBB">
      <w:pPr>
        <w:rPr>
          <w:lang w:val="en-US"/>
        </w:rPr>
      </w:pPr>
    </w:p>
    <w:p w14:paraId="22783B43" w14:textId="63AC81B3" w:rsidR="00C21CBB" w:rsidRDefault="00C71874">
      <w:pPr>
        <w:rPr>
          <w:lang w:val="en-US"/>
        </w:rPr>
      </w:pPr>
      <w:r>
        <w:rPr>
          <w:lang w:val="en-US"/>
        </w:rPr>
        <w:t>A</w:t>
      </w:r>
      <w:r w:rsidR="00C21CBB">
        <w:rPr>
          <w:lang w:val="en-US"/>
        </w:rPr>
        <w:t xml:space="preserve"> CAT post in ST=6 is created, holding the payment in </w:t>
      </w:r>
      <w:r>
        <w:rPr>
          <w:lang w:val="en-US"/>
        </w:rPr>
        <w:t>advance</w:t>
      </w:r>
      <w:r w:rsidR="00FE70F7">
        <w:rPr>
          <w:lang w:val="en-US"/>
        </w:rPr>
        <w:t xml:space="preserve"> (will be used to clear the invoice </w:t>
      </w:r>
      <w:proofErr w:type="gramStart"/>
      <w:r w:rsidR="00FE70F7">
        <w:rPr>
          <w:lang w:val="en-US"/>
        </w:rPr>
        <w:t>later on</w:t>
      </w:r>
      <w:proofErr w:type="gramEnd"/>
      <w:r w:rsidR="00FE70F7">
        <w:rPr>
          <w:lang w:val="en-US"/>
        </w:rPr>
        <w:t>).</w:t>
      </w:r>
      <w:r w:rsidR="00C21CBB">
        <w:rPr>
          <w:noProof/>
        </w:rPr>
        <w:drawing>
          <wp:inline distT="0" distB="0" distL="0" distR="0" wp14:anchorId="00B080B1" wp14:editId="2321F9F7">
            <wp:extent cx="5760720" cy="239014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14083" w14:textId="6A14AE04" w:rsidR="00FE70F7" w:rsidRDefault="00FE70F7">
      <w:pPr>
        <w:rPr>
          <w:lang w:val="en-US"/>
        </w:rPr>
      </w:pPr>
    </w:p>
    <w:p w14:paraId="3664B3C8" w14:textId="7D779D79" w:rsidR="00FE70F7" w:rsidRDefault="00FE70F7">
      <w:pPr>
        <w:rPr>
          <w:lang w:val="en-US"/>
        </w:rPr>
      </w:pPr>
      <w:r>
        <w:rPr>
          <w:lang w:val="en-US"/>
        </w:rPr>
        <w:t xml:space="preserve">When the PAY is registered to ST=4, the note about not sending COA to </w:t>
      </w:r>
      <w:proofErr w:type="gramStart"/>
      <w:r>
        <w:rPr>
          <w:lang w:val="en-US"/>
        </w:rPr>
        <w:t>shipping</w:t>
      </w:r>
      <w:proofErr w:type="gramEnd"/>
      <w:r>
        <w:rPr>
          <w:lang w:val="en-US"/>
        </w:rPr>
        <w:t xml:space="preserve"> advice is gone and COA can be forwarded to CSA.</w:t>
      </w:r>
      <w:r>
        <w:rPr>
          <w:noProof/>
        </w:rPr>
        <w:drawing>
          <wp:inline distT="0" distB="0" distL="0" distR="0" wp14:anchorId="2296F2C1" wp14:editId="1056F749">
            <wp:extent cx="5760720" cy="2726055"/>
            <wp:effectExtent l="0" t="0" r="0" b="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130ED" w14:textId="47B689E7" w:rsidR="00FE70F7" w:rsidRDefault="00FE70F7">
      <w:pPr>
        <w:rPr>
          <w:lang w:val="en-US"/>
        </w:rPr>
      </w:pPr>
      <w:r>
        <w:rPr>
          <w:lang w:val="en-US"/>
        </w:rPr>
        <w:t>After shipping the goods, you forward the CSA to an invoice (CIN). The CIN will go to ST=9 with a reference to a PAY.</w:t>
      </w:r>
    </w:p>
    <w:p w14:paraId="7834DBC4" w14:textId="4AD31B86" w:rsidR="00FE70F7" w:rsidRDefault="00FE70F7">
      <w:pPr>
        <w:rPr>
          <w:lang w:val="en-US"/>
        </w:rPr>
      </w:pPr>
      <w:r>
        <w:rPr>
          <w:noProof/>
        </w:rPr>
        <w:drawing>
          <wp:inline distT="0" distB="0" distL="0" distR="0" wp14:anchorId="415EC42B" wp14:editId="70781BE5">
            <wp:extent cx="5760720" cy="2597150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3BCEC" w14:textId="038BD055" w:rsidR="00FE70F7" w:rsidRDefault="00FE70F7">
      <w:pPr>
        <w:rPr>
          <w:lang w:val="en-US"/>
        </w:rPr>
      </w:pPr>
    </w:p>
    <w:p w14:paraId="25C3FDE2" w14:textId="0F2A0DE3" w:rsidR="00FE70F7" w:rsidRPr="00FE70F7" w:rsidRDefault="00FE70F7">
      <w:pPr>
        <w:rPr>
          <w:lang w:val="en-US"/>
        </w:rPr>
      </w:pPr>
      <w:r>
        <w:rPr>
          <w:lang w:val="en-US"/>
        </w:rPr>
        <w:t>This PAY shows the clearing of the advance payment and the CIN.</w:t>
      </w:r>
      <w:r w:rsidRPr="00FE70F7">
        <w:rPr>
          <w:noProof/>
          <w:lang w:val="en-US"/>
        </w:rPr>
        <w:t xml:space="preserve"> </w:t>
      </w:r>
      <w:r>
        <w:rPr>
          <w:noProof/>
        </w:rPr>
        <w:drawing>
          <wp:inline distT="0" distB="0" distL="0" distR="0" wp14:anchorId="20A84B54" wp14:editId="54FD5107">
            <wp:extent cx="5760720" cy="2026920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0F7" w:rsidRPr="00FE70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3949A" w14:textId="77777777" w:rsidR="00FE70F7" w:rsidRDefault="00FE70F7" w:rsidP="00FE70F7">
      <w:pPr>
        <w:spacing w:after="0" w:line="240" w:lineRule="auto"/>
      </w:pPr>
      <w:r>
        <w:separator/>
      </w:r>
    </w:p>
  </w:endnote>
  <w:endnote w:type="continuationSeparator" w:id="0">
    <w:p w14:paraId="36FB023E" w14:textId="77777777" w:rsidR="00FE70F7" w:rsidRDefault="00FE70F7" w:rsidP="00FE7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808CA" w14:textId="77777777" w:rsidR="00FE70F7" w:rsidRDefault="00FE70F7" w:rsidP="00FE70F7">
      <w:pPr>
        <w:spacing w:after="0" w:line="240" w:lineRule="auto"/>
      </w:pPr>
      <w:r>
        <w:separator/>
      </w:r>
    </w:p>
  </w:footnote>
  <w:footnote w:type="continuationSeparator" w:id="0">
    <w:p w14:paraId="6ECDE126" w14:textId="77777777" w:rsidR="00FE70F7" w:rsidRDefault="00FE70F7" w:rsidP="00FE70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CBB"/>
    <w:rsid w:val="000072D6"/>
    <w:rsid w:val="00097786"/>
    <w:rsid w:val="000A395E"/>
    <w:rsid w:val="00484870"/>
    <w:rsid w:val="00933C44"/>
    <w:rsid w:val="00982055"/>
    <w:rsid w:val="009D2083"/>
    <w:rsid w:val="00A756E9"/>
    <w:rsid w:val="00B92F1F"/>
    <w:rsid w:val="00C21CBB"/>
    <w:rsid w:val="00C71874"/>
    <w:rsid w:val="00CC2AA3"/>
    <w:rsid w:val="00DF18DF"/>
    <w:rsid w:val="00F16EFC"/>
    <w:rsid w:val="00FE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F1D5A42"/>
  <w15:chartTrackingRefBased/>
  <w15:docId w15:val="{A94B57BD-5887-4CF3-AD8F-1091FA1E3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177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Gunilla Wejerfelt</dc:creator>
  <cp:keywords/>
  <dc:description/>
  <cp:lastModifiedBy>Gunilla Wejerfelt</cp:lastModifiedBy>
  <cp:revision>9</cp:revision>
  <dcterms:created xsi:type="dcterms:W3CDTF">2021-11-10T06:08:00Z</dcterms:created>
  <dcterms:modified xsi:type="dcterms:W3CDTF">2022-02-03T06:27:00Z</dcterms:modified>
</cp:coreProperties>
</file>